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0F" w:rsidRDefault="00591AA9">
      <w:r>
        <w:t>Prinsip kedaulatan rakyat juga tercantum dengan jelas dalam Pasal 1 ayat (2) UUD 1945 yang berbunyi: “Kedaulatan berada di tangan rakyat dan dilaksanakan menurut Undang-Undang Dasar”. Prinsip kedaulatan rakyat tersebut juga nampak dalam seluruh mekanisme dan prosedur yang terdapat dalam UUD 1945. Mulai dari prosedur rekruitmen politik, kekuasaan, legislasi, pajak dan pemilu mencerminkan bahwa UUD 1945 menganut paham kedaulatan rakyat dengan konsep perwakilan.</w:t>
      </w:r>
    </w:p>
    <w:sectPr w:rsidR="009E1E0F" w:rsidSect="009E1E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AA9"/>
    <w:rsid w:val="00591AA9"/>
    <w:rsid w:val="009E1E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2</cp:revision>
  <dcterms:created xsi:type="dcterms:W3CDTF">2014-05-14T14:07:00Z</dcterms:created>
  <dcterms:modified xsi:type="dcterms:W3CDTF">2014-05-14T14:07:00Z</dcterms:modified>
</cp:coreProperties>
</file>